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page">
              <wp:posOffset>293560</wp:posOffset>
            </wp:positionH>
            <wp:positionV relativeFrom="page">
              <wp:posOffset>647700</wp:posOffset>
            </wp:positionV>
            <wp:extent cx="7112128" cy="1926005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128" cy="1926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Протокол № 01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Совета Межрегиональной общественной организации содействия архитектурному образованию (МООСАО) от 31 марта 2022г. </w:t>
      </w:r>
    </w:p>
    <w:p w:rsidR="000A1C5D" w:rsidRDefault="000A1C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A1C5D" w:rsidRDefault="000B0CFD">
      <w:pPr>
        <w:jc w:val="both"/>
      </w:pPr>
      <w:r>
        <w:t>Место проведения: заседание в дистанционном формате посредством ВКС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Присутствовали:</w:t>
      </w:r>
    </w:p>
    <w:tbl>
      <w:tblPr>
        <w:tblStyle w:val="aa"/>
        <w:tblW w:w="101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690"/>
        <w:gridCol w:w="2685"/>
        <w:gridCol w:w="3810"/>
      </w:tblGrid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Председатель МООСАО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МАРХИ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Ауров Валерий Васильевич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Ученый Секретарь МООСАО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МАРХИ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Успенская Анастасия Михайловна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Азербайджанское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АзАСУ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Алиев Ильгар Орудж оглу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Нижегородское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ННГАСУ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Гельфонд Анна Лазаревна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Самарское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СамГТУ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Генералов Виктор Павлович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Красноярское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СФУ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Геращенко Сергей Михайлович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Московское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МАРХИ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Коршаков Федор Николаевич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Волгоградское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ВолгГТУ ИАиС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Матовников Сергей Алексеевич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Кыргызское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КРСУ им. Б. Н. Ельцина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Муксинов Равиль Мунирович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Уфимское (Республика Башкортостан)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УГНТУ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Сабитов Ильдар Нариманович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Нижегородское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ННГАСУ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Худин Александр Александрович</w:t>
            </w:r>
          </w:p>
        </w:tc>
      </w:tr>
      <w:tr w:rsidR="000A1C5D">
        <w:trPr>
          <w:cantSplit/>
          <w:trHeight w:val="396"/>
        </w:trPr>
        <w:tc>
          <w:tcPr>
            <w:tcW w:w="36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Самарское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СамГТУ</w:t>
            </w:r>
          </w:p>
        </w:tc>
        <w:tc>
          <w:tcPr>
            <w:tcW w:w="3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1C5D" w:rsidRDefault="000B0CFD">
            <w:pPr>
              <w:widowControl w:val="0"/>
              <w:spacing w:line="276" w:lineRule="auto"/>
            </w:pPr>
            <w:r>
              <w:t>Cамогоров Виталий Александрович</w:t>
            </w:r>
          </w:p>
        </w:tc>
      </w:tr>
    </w:tbl>
    <w:p w:rsidR="000A1C5D" w:rsidRDefault="000A1C5D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jc w:val="both"/>
        <w:rPr>
          <w:u w:val="single"/>
        </w:rPr>
      </w:pP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jc w:val="both"/>
      </w:pPr>
      <w:r>
        <w:t xml:space="preserve">Ученый Секретарь МООСАО Успенская А.М. сообщила, что на заседании Совета МООСАО, присутствуют 12 человек из </w:t>
      </w:r>
      <w:r w:rsidR="008D7C43">
        <w:t>13 членов</w:t>
      </w:r>
      <w:r>
        <w:t xml:space="preserve"> Совета МООСАО, кворум имеется. Совет правомочен решать все вопросы повестки дня. Предлагается начать работу Совета.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jc w:val="both"/>
      </w:pPr>
      <w:r>
        <w:t>На утверждение Совета выносится следующая ПОВЕСТКА ДНЯ:</w:t>
      </w:r>
    </w:p>
    <w:p w:rsidR="000A1C5D" w:rsidRDefault="000A1C5D">
      <w:pPr>
        <w:pBdr>
          <w:top w:val="nil"/>
          <w:left w:val="nil"/>
          <w:bottom w:val="nil"/>
          <w:right w:val="nil"/>
          <w:between w:val="nil"/>
        </w:pBdr>
      </w:pPr>
    </w:p>
    <w:p w:rsidR="000A1C5D" w:rsidRDefault="000B0CFD">
      <w:pPr>
        <w:numPr>
          <w:ilvl w:val="0"/>
          <w:numId w:val="2"/>
        </w:numPr>
        <w:jc w:val="both"/>
      </w:pPr>
      <w:r>
        <w:t>Расширение состава Совета МООСАО.</w:t>
      </w:r>
    </w:p>
    <w:p w:rsidR="000A1C5D" w:rsidRDefault="000B0CFD">
      <w:pPr>
        <w:numPr>
          <w:ilvl w:val="0"/>
          <w:numId w:val="2"/>
        </w:numPr>
        <w:jc w:val="both"/>
      </w:pPr>
      <w:r>
        <w:t>О взносах МООСАО в 2022г.</w:t>
      </w:r>
    </w:p>
    <w:p w:rsidR="000A1C5D" w:rsidRDefault="000B0CFD">
      <w:pPr>
        <w:numPr>
          <w:ilvl w:val="0"/>
          <w:numId w:val="2"/>
        </w:numPr>
        <w:jc w:val="both"/>
      </w:pPr>
      <w:r>
        <w:t>О программе и организационных материалах международного смотра-конкурса лучших выпускных квалификационных работ по архитектуре, дизайну и искусству, организуемом МООСАО в 2022г.</w:t>
      </w:r>
    </w:p>
    <w:p w:rsidR="000A1C5D" w:rsidRDefault="000B0CFD">
      <w:pPr>
        <w:numPr>
          <w:ilvl w:val="0"/>
          <w:numId w:val="2"/>
        </w:numPr>
        <w:jc w:val="both"/>
      </w:pPr>
      <w:r>
        <w:t>Реорганизация МООСАО и создание ассоциации.</w:t>
      </w:r>
    </w:p>
    <w:p w:rsidR="000A1C5D" w:rsidRDefault="000A1C5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t>Повестка дня утверждается.</w:t>
      </w:r>
    </w:p>
    <w:p w:rsidR="000A1C5D" w:rsidRDefault="000A1C5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b/>
        </w:rPr>
      </w:pPr>
      <w:r>
        <w:br w:type="page"/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</w:pPr>
      <w:r>
        <w:rPr>
          <w:b/>
        </w:rPr>
        <w:lastRenderedPageBreak/>
        <w:t xml:space="preserve">1. Слушали: </w:t>
      </w:r>
      <w:r>
        <w:t>Расширение состава Совета МООСАО.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Выступили: Матовников С.А. с предложением о расширении состава Совета МООСАО до 16 человек и включения в него следующих по итогам голосования кандидатов (24 голоса - </w:t>
      </w:r>
      <w:r>
        <w:rPr>
          <w:highlight w:val="white"/>
        </w:rPr>
        <w:t>Санкт-Петербургское отделение (</w:t>
      </w:r>
      <w:r>
        <w:t>СПбГАСУ) Янковская Юлия Сергеевна,</w:t>
      </w:r>
      <w:r>
        <w:rPr>
          <w:highlight w:val="white"/>
        </w:rPr>
        <w:t xml:space="preserve"> </w:t>
      </w:r>
      <w:r>
        <w:t xml:space="preserve"> 23 голоса - Московское отделение (МАРХИ) Жук Петр Михайлович, 22 голоса - Воронежское отделение (ВГТУ) Енин Александр Егорович) для повышения представительности Совета и усиления команды Совета особенно в свете важности формирования рабочей активной команды по реорганизации МООСАО в ассоциацию.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Худин А.А. выразил возражение, указал на неправомочность Совета вносить изменения в решения Конференции по данному вопросу, а также указал, что не понятно почему увеличить совет необходимо до 16 человек, а не больше или меньше. Предложил вместо включения новых членов в Совет ввести статус ассоциированных членов Совета МООСАО и в него включить предложенным советом кандидатов, исходя из представительности вузов, чтобы учесть интересы всех членов МООСАО, и приглашать их на заседания Совета по мере необходимости, но без права голоса.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Сабитов И.Н., Алиев И.О., Муксинов Р.У. поддержали выступление Худина А.А.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Коршаков Ф.Н. поддержал предложение Матовникова С.А., и подчеркнул, что предложенные кандидатуры проявили себя активными и не равнодушными членами МООСАО и включение их в Совет стратегически важно.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Успенская А.М. сформулировала из предложений членов Совета три варианта решения вопроса:</w:t>
      </w:r>
    </w:p>
    <w:p w:rsidR="000A1C5D" w:rsidRDefault="000B0C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расширение Совета до 16 человек и включение в Совет </w:t>
      </w:r>
      <w:r w:rsidR="008D7C43">
        <w:t>трех членов,</w:t>
      </w:r>
      <w:r>
        <w:t xml:space="preserve"> следующих по итогам голосования Конференции в г.Тамбов;</w:t>
      </w:r>
    </w:p>
    <w:p w:rsidR="000A1C5D" w:rsidRDefault="000B0C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составление списка ассоциированных членов Совета, членами Совета и приглашение ассоциированных членов на заседания;</w:t>
      </w:r>
    </w:p>
    <w:p w:rsidR="000A1C5D" w:rsidRDefault="000B0C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включение с ассоциированных членов Совета МООСАО представителей всех региональных отделений и всех вузов-членов МООСАО. 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Третий вариант наиболее сложный организационно, так как усложняет процедуру проведения заседаний и снижает их эффективность.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Гельфонд А.Л. выразила солидарность с третьим вариантом, но подчеркнула, что он действительно наиболее сложный и менее эффективный.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Совет принял решение отложить вопрос и члены Совета составят свои предложения по ассоциированным членам, для решения вопроса на следующем заседании.</w:t>
      </w:r>
    </w:p>
    <w:p w:rsidR="000A1C5D" w:rsidRDefault="000A1C5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2.Слушали: </w:t>
      </w:r>
      <w:r>
        <w:t>О взносах МООСАО в 2022г.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yellow"/>
        </w:rPr>
      </w:pPr>
      <w:r>
        <w:t xml:space="preserve">Ученый секретарь Совета МООСАО Успенская А.М. выступила с отчетом о финансовой деятельности МООСАО за 2021 год, представила Совету сводную таблицу с оплаченными взносами и долгами от региональных отделений, а также расчет по оплате онлайн платформы МООСАО за 2021 год. Также были представлены расчеты с предложениями по увеличению размера членских взносов и стоимости регистрационных-взносов за онлайн платформу МООСАО. Рост задолженности по членским взносам отдельных членов МООСАО и политика не увеличения суммы членских взносов на протяжении нескольких лет без учета инфляции и невыполнение обязательств по членским взносам ведет к финансовой недееспособности организации. Повышение размера взносов необходимы, также в связи с возросшей сметой МООСАО, которая выросла, в том числе, по причине повышение заработной платы сотрудникам МООСАО, до минимальной по региону, в связи с требованием федеральной налоговой службы РФ. 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Выступили: Коршаков Ф.М. с предложением оставить прежнюю систему </w:t>
      </w:r>
      <w:r w:rsidR="008D7C43">
        <w:t>расчета суммы</w:t>
      </w:r>
      <w:r>
        <w:t xml:space="preserve"> членских взносов, принятую в МООСАО ранее: зависимость суммы взноса от количества приема обучающихся в ВУЗе, сотрудниками которого являются члены МООСАО того или иного регионального отделения, - и увеличить эту сумму с учетом инфляции на 15% от цифры 2021 года. Худин А.А. также предложил оставить прежнюю систему оплаты членских взносов, учитывая процент по инфляции.</w:t>
      </w:r>
    </w:p>
    <w:p w:rsidR="000A1C5D" w:rsidRDefault="000B0CFD">
      <w:pPr>
        <w:jc w:val="both"/>
      </w:pPr>
      <w:r>
        <w:t xml:space="preserve">Генералов В. П. подчеркнул важность, на примере своего ВУЗа, раздельной оплаты ежегодных членских взносов, и прочих взносов. Гельфонд А.Л. наоборот высказала позицию своего ВУЗа, о том, что удобно, когда оплата проходит в один заход и требует в ВУЗе однократного </w:t>
      </w:r>
      <w:r>
        <w:lastRenderedPageBreak/>
        <w:t xml:space="preserve">согласования, но также подчеркнула, что сумма транзакции важна. И также поддержала, </w:t>
      </w:r>
      <w:r w:rsidR="008D7C43">
        <w:t>что надо</w:t>
      </w:r>
      <w:r>
        <w:t xml:space="preserve"> идти по старой схеме, не надо от нее отказываться. Это решение поддержал Муксинов Р.М. и Сабитов И.Н., сказав, что у руководства их ВУЗов нет поводов возражать по такой системе оплаты.</w:t>
      </w:r>
    </w:p>
    <w:p w:rsidR="000A1C5D" w:rsidRDefault="000B0CFD">
      <w:pPr>
        <w:jc w:val="both"/>
      </w:pPr>
      <w:r>
        <w:t>Также на заседании Совета поднимался вопрос о должниках по членским и прочим взносам.</w:t>
      </w:r>
    </w:p>
    <w:p w:rsidR="000A1C5D" w:rsidRDefault="000B0CFD">
      <w:pPr>
        <w:jc w:val="both"/>
      </w:pPr>
      <w:r>
        <w:t>В рамках обсуждение регистрационных взносов на предстоящий смотр-конкурс лучших дипломных работ и целевого взноса на онлайн платформу МООСАО:</w:t>
      </w:r>
    </w:p>
    <w:p w:rsidR="000A1C5D" w:rsidRDefault="000B0CFD">
      <w:pPr>
        <w:jc w:val="both"/>
      </w:pPr>
      <w:r>
        <w:t>Геращенко С.М. считает, что смотр проводит МООСАО, значит весь регистрационный взнос должен оплачиваться в МООСАО, а организация, в свою очередь уже заключает договора о проведении смотра с операторами смотра-конкурса в лице принимающего ВУЗа.</w:t>
      </w:r>
    </w:p>
    <w:p w:rsidR="000A1C5D" w:rsidRDefault="000B0CFD">
      <w:pPr>
        <w:jc w:val="both"/>
      </w:pPr>
      <w:r>
        <w:t xml:space="preserve">Ауров В.В. поднял вопрос </w:t>
      </w:r>
      <w:r w:rsidR="008D7C43">
        <w:t>об удорожании</w:t>
      </w:r>
      <w:r>
        <w:t xml:space="preserve"> стоимости бумаги и сложностями с ее поставкой, что отразится на стоимости печати и </w:t>
      </w:r>
      <w:r w:rsidR="004B72AF">
        <w:t xml:space="preserve">конкурсных работ </w:t>
      </w:r>
      <w:r>
        <w:t>и дипломов МООСАО на смотр-конкурс.</w:t>
      </w:r>
    </w:p>
    <w:p w:rsidR="000A1C5D" w:rsidRDefault="000B0CFD">
      <w:pPr>
        <w:jc w:val="both"/>
      </w:pPr>
      <w:r>
        <w:t xml:space="preserve">Постановили: </w:t>
      </w:r>
    </w:p>
    <w:p w:rsidR="000A1C5D" w:rsidRDefault="000B0CFD">
      <w:pPr>
        <w:numPr>
          <w:ilvl w:val="0"/>
          <w:numId w:val="1"/>
        </w:numPr>
        <w:jc w:val="both"/>
      </w:pPr>
      <w:r>
        <w:t>Увеличить сумму членского взноса МООСАО в 2022г. на 15% относительно суммы членских взносов 2021г.</w:t>
      </w:r>
    </w:p>
    <w:p w:rsidR="000A1C5D" w:rsidRDefault="000B0CFD">
      <w:pPr>
        <w:numPr>
          <w:ilvl w:val="0"/>
          <w:numId w:val="1"/>
        </w:numPr>
        <w:jc w:val="both"/>
      </w:pPr>
      <w:r>
        <w:t>Утвердить членские взносы в МООСАО на 2022 год:</w:t>
      </w:r>
    </w:p>
    <w:p w:rsidR="000A1C5D" w:rsidRDefault="000B0CFD">
      <w:pPr>
        <w:numPr>
          <w:ilvl w:val="0"/>
          <w:numId w:val="6"/>
        </w:numPr>
        <w:jc w:val="both"/>
      </w:pPr>
      <w:r>
        <w:t>Для профильных вузов (более 1</w:t>
      </w:r>
      <w:r w:rsidR="008D7C43">
        <w:t>5</w:t>
      </w:r>
      <w:r>
        <w:t>0 обучающихся*) - 94 300 (девяносто четыре тысячи триста) рублей 00 коп.</w:t>
      </w:r>
    </w:p>
    <w:p w:rsidR="000A1C5D" w:rsidRDefault="000B0CFD">
      <w:pPr>
        <w:widowControl w:val="0"/>
        <w:numPr>
          <w:ilvl w:val="0"/>
          <w:numId w:val="4"/>
        </w:numPr>
        <w:jc w:val="both"/>
      </w:pPr>
      <w:r>
        <w:t>Для вузов, факультетов или институтов на правах факультетов (50-1</w:t>
      </w:r>
      <w:r w:rsidR="008D7C43">
        <w:t>5</w:t>
      </w:r>
      <w:r>
        <w:t>0 обучающихся*) – 46 500 (сорок шесть тысяч пятьсот рублей) рублей 00 коп.</w:t>
      </w:r>
    </w:p>
    <w:p w:rsidR="000A1C5D" w:rsidRDefault="000B0CFD">
      <w:pPr>
        <w:widowControl w:val="0"/>
        <w:numPr>
          <w:ilvl w:val="0"/>
          <w:numId w:val="4"/>
        </w:numPr>
        <w:jc w:val="both"/>
      </w:pPr>
      <w:r>
        <w:t>Для вузов, факультетов или институтов на правах факультетов (менее 50 обучающихся*) – 23 300 (двадцать три тысячи триста) рублей 00 коп.</w:t>
      </w:r>
    </w:p>
    <w:p w:rsidR="000A1C5D" w:rsidRDefault="000B0CFD">
      <w:pPr>
        <w:jc w:val="both"/>
      </w:pPr>
      <w:r>
        <w:t>*Расчет из числа обучающихся ВУЗА, обучающихся по профильным направлениям (в области архитектуры и искусства), принятых на 1 курс (бакалавриат и магистратура) текущего учебного года.</w:t>
      </w:r>
    </w:p>
    <w:p w:rsidR="000A1C5D" w:rsidRDefault="000B0CFD">
      <w:pPr>
        <w:numPr>
          <w:ilvl w:val="0"/>
          <w:numId w:val="1"/>
        </w:numPr>
        <w:jc w:val="both"/>
      </w:pPr>
      <w:r>
        <w:t>Установить вступительный взнос в МООСАО в 2022г. в размере членского взноса.</w:t>
      </w:r>
    </w:p>
    <w:p w:rsidR="000A1C5D" w:rsidRDefault="000B0CFD">
      <w:pPr>
        <w:numPr>
          <w:ilvl w:val="0"/>
          <w:numId w:val="1"/>
        </w:numPr>
        <w:jc w:val="both"/>
      </w:pPr>
      <w:r>
        <w:t xml:space="preserve">Утвердить </w:t>
      </w:r>
      <w:bookmarkStart w:id="0" w:name="_Hlk100850722"/>
      <w:r>
        <w:t>целевой взнос на издание дипломов в размере 3 000 (три тысячи) рублей 00 коп. для каждого члена МООСАО.</w:t>
      </w:r>
    </w:p>
    <w:bookmarkEnd w:id="0"/>
    <w:p w:rsidR="000A1C5D" w:rsidRDefault="000B0CFD">
      <w:pPr>
        <w:jc w:val="both"/>
      </w:pPr>
      <w:r>
        <w:t>Результаты голосования: “за” - единогласно, “против” - 0 человек, “воздержались” - 0 человек. Принято “Единогласно”.</w:t>
      </w:r>
    </w:p>
    <w:p w:rsidR="000A1C5D" w:rsidRDefault="000B0CFD">
      <w:pPr>
        <w:numPr>
          <w:ilvl w:val="0"/>
          <w:numId w:val="1"/>
        </w:numPr>
        <w:jc w:val="both"/>
      </w:pPr>
      <w:r>
        <w:t xml:space="preserve">Утвердить </w:t>
      </w:r>
      <w:bookmarkStart w:id="1" w:name="_Hlk100850814"/>
      <w:r>
        <w:t xml:space="preserve">целевой взнос </w:t>
      </w:r>
      <w:bookmarkStart w:id="2" w:name="_Hlk100850550"/>
      <w:r>
        <w:t xml:space="preserve">на </w:t>
      </w:r>
      <w:r w:rsidR="008D7C43">
        <w:t xml:space="preserve">информационно-архивную </w:t>
      </w:r>
      <w:r>
        <w:t>онлайн платформу</w:t>
      </w:r>
      <w:bookmarkEnd w:id="2"/>
      <w:r>
        <w:t xml:space="preserve"> МООСАО в 2022г. (привязать расчет к кол-ву работ, которые ВУЗы-участники представляют на международный смотр-конкурс лучших выпускных квалификационных работ по архитектуре, дизайну и искусству, организуемый МООСАО) :</w:t>
      </w:r>
    </w:p>
    <w:p w:rsidR="000A1C5D" w:rsidRDefault="000B0CFD">
      <w:pPr>
        <w:widowControl w:val="0"/>
        <w:numPr>
          <w:ilvl w:val="0"/>
          <w:numId w:val="5"/>
        </w:numPr>
        <w:ind w:left="425" w:right="390"/>
        <w:jc w:val="both"/>
      </w:pPr>
      <w:r>
        <w:t>для членов МООСАО составляет 1000 рублей за каждую конкурсную работу;</w:t>
      </w:r>
    </w:p>
    <w:bookmarkEnd w:id="1"/>
    <w:p w:rsidR="000A1C5D" w:rsidRDefault="000B0CFD">
      <w:pPr>
        <w:widowControl w:val="0"/>
        <w:numPr>
          <w:ilvl w:val="0"/>
          <w:numId w:val="5"/>
        </w:numPr>
        <w:ind w:left="425" w:right="390"/>
        <w:jc w:val="both"/>
      </w:pPr>
      <w:r>
        <w:t>для не членов МООСАО составляет 3000 рублей за каждую конкурсную работу.</w:t>
      </w:r>
    </w:p>
    <w:p w:rsidR="000A1C5D" w:rsidRDefault="000B0CFD">
      <w:pPr>
        <w:jc w:val="both"/>
      </w:pPr>
      <w:r>
        <w:t>Результаты голосования: “за” - 10 человек, “против” - 1 человек, “воздержались” - 1 человек. Принято большинством голосов.</w:t>
      </w:r>
    </w:p>
    <w:p w:rsidR="000A1C5D" w:rsidRDefault="000A1C5D">
      <w:pPr>
        <w:widowControl w:val="0"/>
        <w:spacing w:before="3"/>
        <w:ind w:right="390"/>
        <w:jc w:val="both"/>
      </w:pPr>
    </w:p>
    <w:p w:rsidR="000A1C5D" w:rsidRDefault="000B0CFD">
      <w:pPr>
        <w:numPr>
          <w:ilvl w:val="0"/>
          <w:numId w:val="1"/>
        </w:numPr>
        <w:jc w:val="both"/>
      </w:pPr>
      <w:r>
        <w:t>Региональным отделениям МООСАО с членами с задолженностью по оплате членских и прочих взносов - представить в Совет МООСАО в срок до 01 мая 2022 года информацию о причинах задолженности и возможности её погашения.</w:t>
      </w:r>
    </w:p>
    <w:p w:rsidR="000A1C5D" w:rsidRDefault="000B0CFD">
      <w:pPr>
        <w:ind w:left="720"/>
        <w:jc w:val="both"/>
      </w:pPr>
      <w:r>
        <w:t>За неуплату долга по членским взносам за 2021 год, без объяснения причин - приостановить членство в МООСАО с 1 мая 2022г., до оплаты долга или иного решения Совета или Конференции МООСАО.</w:t>
      </w:r>
    </w:p>
    <w:p w:rsidR="000A1C5D" w:rsidRDefault="000B0CFD">
      <w:pPr>
        <w:ind w:left="720"/>
        <w:jc w:val="both"/>
      </w:pPr>
      <w:r>
        <w:t>За неуплату членских взносов за два и более года, без объяснения причин - отчислить из членов МООСАО с 1 мая 2022г.</w:t>
      </w:r>
    </w:p>
    <w:p w:rsidR="000A1C5D" w:rsidRDefault="000A1C5D">
      <w:pPr>
        <w:ind w:left="720"/>
        <w:jc w:val="both"/>
      </w:pP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3.Слушали:</w:t>
      </w:r>
      <w:r>
        <w:t xml:space="preserve"> О программе и организационных материалах международного смотра-конкурса лучших выпускных квалификационных работ по архитектуре, дизайну и искусству, организуемом МООСАО в 2022г.</w:t>
      </w:r>
    </w:p>
    <w:p w:rsidR="000A1C5D" w:rsidRDefault="000B0CFD">
      <w:pPr>
        <w:jc w:val="both"/>
      </w:pPr>
      <w:r>
        <w:t xml:space="preserve">Администрация КазГАСУ, в лице директора Института архитектуры и дизайна КазГАСУ Романовой Анны Ильиничны представили материалы по смотру-конкурсу и программу научной </w:t>
      </w:r>
      <w:r>
        <w:lastRenderedPageBreak/>
        <w:t>конференции, которая пройдет в рамках смотра-конкурса. программу. Совет внес необходимые правки и добавления.</w:t>
      </w:r>
    </w:p>
    <w:p w:rsidR="000A1C5D" w:rsidRDefault="000B0CFD">
      <w:pPr>
        <w:jc w:val="both"/>
      </w:pPr>
      <w:r>
        <w:t>Постановили:</w:t>
      </w:r>
    </w:p>
    <w:p w:rsidR="000A1C5D" w:rsidRDefault="000B0CFD">
      <w:pPr>
        <w:jc w:val="both"/>
      </w:pPr>
      <w:r>
        <w:t xml:space="preserve">Утвердить материалы, представленные КазГАСУ с учетом правок Совета МООСАО и провести XXXI международный смотр-конкурс лучших выпускных квалификационных работ по архитектуре, дизайну и искусству, организуемый МООСАО, 17-24 сентября 2022г. в г. Казань на базе </w:t>
      </w:r>
      <w:r>
        <w:rPr>
          <w:smallCaps/>
        </w:rPr>
        <w:t>ФГБОУ ВО «</w:t>
      </w:r>
      <w:r>
        <w:t>Казанский государственный архитектурно-строительный университет</w:t>
      </w:r>
      <w:r>
        <w:rPr>
          <w:smallCaps/>
        </w:rPr>
        <w:t>» (КазГАСУ).</w:t>
      </w:r>
    </w:p>
    <w:p w:rsidR="000A1C5D" w:rsidRDefault="000A1C5D"/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4.Слушали: </w:t>
      </w:r>
      <w:r>
        <w:t>Реорганизация МООСАО и создание ассоциации.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Рассмотрели вопрос о Реорганизация МООСАО и создание ассоциации. Обсудили, что даже в случае создания ассоциации МООСАО еще какое-то время будет продолжать свою работу. Для эффективной работы по вопросу создания ассоциации необходимо составить рабочую группу (оргкомитет) по разработке Устава и принципов работы будущей ассоциации из представителей ВУЗов-членов МООСАО. </w:t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Постановили: </w:t>
      </w:r>
    </w:p>
    <w:p w:rsidR="000A1C5D" w:rsidRDefault="00B65FBC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65FB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217171</wp:posOffset>
            </wp:positionV>
            <wp:extent cx="857250" cy="586208"/>
            <wp:effectExtent l="0" t="0" r="0" b="4445"/>
            <wp:wrapNone/>
            <wp:docPr id="5" name="Рисунок 5" descr="Изображение выглядит как гидроид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гидроид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75" cy="58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CFD">
        <w:t>Поручить секретарю МООСАО Успенской А.М. собрать рабочую группу для работы над созданием ассоциации.</w:t>
      </w:r>
    </w:p>
    <w:p w:rsidR="000A1C5D" w:rsidRDefault="000A1C5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</w:pPr>
      <w:r>
        <w:t>Председатель Совета МООСАО</w:t>
      </w:r>
      <w:r>
        <w:tab/>
      </w:r>
      <w:r>
        <w:tab/>
      </w:r>
      <w:r>
        <w:tab/>
      </w:r>
      <w:r>
        <w:tab/>
      </w:r>
      <w:r>
        <w:tab/>
        <w:t>В.В. Ауров</w:t>
      </w:r>
    </w:p>
    <w:p w:rsidR="000A1C5D" w:rsidRDefault="00B65FBC">
      <w:pPr>
        <w:pBdr>
          <w:top w:val="nil"/>
          <w:left w:val="nil"/>
          <w:bottom w:val="nil"/>
          <w:right w:val="nil"/>
          <w:between w:val="nil"/>
        </w:pBdr>
      </w:pPr>
      <w:r w:rsidRPr="00B65FB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125730</wp:posOffset>
            </wp:positionV>
            <wp:extent cx="1226820" cy="342900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C5D" w:rsidRDefault="000B0CFD">
      <w:pPr>
        <w:pBdr>
          <w:top w:val="nil"/>
          <w:left w:val="nil"/>
          <w:bottom w:val="nil"/>
          <w:right w:val="nil"/>
          <w:between w:val="nil"/>
        </w:pBdr>
      </w:pPr>
      <w:r>
        <w:t>Секретарь Конференции МООСАО</w:t>
      </w:r>
      <w:r>
        <w:tab/>
      </w:r>
      <w:r>
        <w:tab/>
      </w:r>
      <w:r>
        <w:tab/>
      </w:r>
      <w:r>
        <w:tab/>
        <w:t>А.М. Успенская</w:t>
      </w:r>
    </w:p>
    <w:sectPr w:rsidR="000A1C5D" w:rsidSect="007902E2">
      <w:headerReference w:type="default" r:id="rId11"/>
      <w:footerReference w:type="default" r:id="rId12"/>
      <w:pgSz w:w="11906" w:h="16838"/>
      <w:pgMar w:top="720" w:right="715" w:bottom="567" w:left="992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81" w:rsidRDefault="003D2A81">
      <w:r>
        <w:separator/>
      </w:r>
    </w:p>
  </w:endnote>
  <w:endnote w:type="continuationSeparator" w:id="0">
    <w:p w:rsidR="003D2A81" w:rsidRDefault="003D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5D" w:rsidRDefault="007902E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0B0CFD">
      <w:rPr>
        <w:color w:val="000000"/>
      </w:rPr>
      <w:instrText>PAGE</w:instrText>
    </w:r>
    <w:r>
      <w:rPr>
        <w:color w:val="000000"/>
      </w:rPr>
      <w:fldChar w:fldCharType="separate"/>
    </w:r>
    <w:r w:rsidR="00C96FB6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81" w:rsidRDefault="003D2A81">
      <w:r>
        <w:separator/>
      </w:r>
    </w:p>
  </w:footnote>
  <w:footnote w:type="continuationSeparator" w:id="0">
    <w:p w:rsidR="003D2A81" w:rsidRDefault="003D2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5D" w:rsidRDefault="000A1C5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3DC"/>
    <w:multiLevelType w:val="multilevel"/>
    <w:tmpl w:val="2366872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39CE50C9"/>
    <w:multiLevelType w:val="multilevel"/>
    <w:tmpl w:val="EE28161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3D010467"/>
    <w:multiLevelType w:val="multilevel"/>
    <w:tmpl w:val="3E6E6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7251236"/>
    <w:multiLevelType w:val="multilevel"/>
    <w:tmpl w:val="A35EF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9EB37CB"/>
    <w:multiLevelType w:val="multilevel"/>
    <w:tmpl w:val="3E546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CD95428"/>
    <w:multiLevelType w:val="multilevel"/>
    <w:tmpl w:val="B62892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C5D"/>
    <w:rsid w:val="000A1C5D"/>
    <w:rsid w:val="000B0CFD"/>
    <w:rsid w:val="003D2A81"/>
    <w:rsid w:val="004B72AF"/>
    <w:rsid w:val="0058674A"/>
    <w:rsid w:val="007902E2"/>
    <w:rsid w:val="008D7C43"/>
    <w:rsid w:val="00B65FBC"/>
    <w:rsid w:val="00C9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E2"/>
  </w:style>
  <w:style w:type="paragraph" w:styleId="1">
    <w:name w:val="heading 1"/>
    <w:basedOn w:val="a"/>
    <w:next w:val="a"/>
    <w:uiPriority w:val="9"/>
    <w:qFormat/>
    <w:rsid w:val="007902E2"/>
    <w:pPr>
      <w:keepNext/>
      <w:pBdr>
        <w:top w:val="nil"/>
        <w:left w:val="nil"/>
        <w:bottom w:val="nil"/>
        <w:right w:val="nil"/>
        <w:between w:val="nil"/>
      </w:pBd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7902E2"/>
    <w:pPr>
      <w:keepNext/>
      <w:pBdr>
        <w:top w:val="nil"/>
        <w:left w:val="nil"/>
        <w:bottom w:val="nil"/>
        <w:right w:val="nil"/>
        <w:between w:val="nil"/>
      </w:pBdr>
      <w:jc w:val="both"/>
      <w:outlineLvl w:val="1"/>
    </w:pPr>
    <w:rPr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902E2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902E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7902E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7902E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902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902E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rsid w:val="007902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902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7902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7902E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2"/>
    <w:rsid w:val="007902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7902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7902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7902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7902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7902E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ycdEwNtecR+ESSuuVSNGAitzg==">AMUW2mXXKKPvpu7kzME4TebeBIqradvY39bg4JmRBLFYXAxQj2JGZEtGT+IQqPBx6xIB9kY9d8EJTSVulPBKd4tb4s+ZqftircOn3PcfRPTw+KVbRVRasc8=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2022-06-16T10:21:00Z</dcterms:created>
  <dcterms:modified xsi:type="dcterms:W3CDTF">2022-06-16T10:21:00Z</dcterms:modified>
</cp:coreProperties>
</file>